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Geheimhaltungsvertrag (NDA)</w:t>
      </w:r>
      <w:r w:rsidDel="00000000" w:rsidR="00000000" w:rsidRPr="00000000">
        <w:rPr>
          <w:rtl w:val="0"/>
        </w:rPr>
      </w:r>
    </w:p>
    <w:p w:rsidR="00000000" w:rsidDel="00000000" w:rsidP="00000000" w:rsidRDefault="00000000" w:rsidRPr="00000000" w14:paraId="00000002">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tabs>
          <w:tab w:val="left" w:leader="none" w:pos="4860"/>
          <w:tab w:val="left" w:leader="none" w:pos="6840"/>
        </w:tabs>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zwischen</w:t>
      </w:r>
    </w:p>
    <w:p w:rsidR="00000000" w:rsidDel="00000000" w:rsidP="00000000" w:rsidRDefault="00000000" w:rsidRPr="00000000" w14:paraId="00000004">
      <w:pPr>
        <w:spacing w:after="120" w:lineRule="auto"/>
        <w:rPr>
          <w:rFonts w:ascii="Open Sans" w:cs="Open Sans" w:eastAsia="Open Sans" w:hAnsi="Open Sans"/>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i w:val="1"/>
          <w:color w:val="ff0000"/>
          <w:rtl w:val="0"/>
        </w:rPr>
        <w:t xml:space="preserve">(Name, Adresse einfügen)</w:t>
      </w:r>
      <w:r w:rsidDel="00000000" w:rsidR="00000000" w:rsidRPr="00000000">
        <w:rPr>
          <w:rtl w:val="0"/>
        </w:rPr>
      </w:r>
    </w:p>
    <w:p w:rsidR="00000000" w:rsidDel="00000000" w:rsidP="00000000" w:rsidRDefault="00000000" w:rsidRPr="00000000" w14:paraId="00000005">
      <w:pPr>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und</w:t>
      </w:r>
    </w:p>
    <w:p w:rsidR="00000000" w:rsidDel="00000000" w:rsidP="00000000" w:rsidRDefault="00000000" w:rsidRPr="00000000" w14:paraId="00000006">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einfügen)</w:t>
        <w:br w:type="textWrapping"/>
      </w:r>
    </w:p>
    <w:p w:rsidR="00000000" w:rsidDel="00000000" w:rsidP="00000000" w:rsidRDefault="00000000" w:rsidRPr="00000000" w14:paraId="00000007">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 nachfolgend jeweils "Partei" oder zusammen "Parteien" genannt.</w:t>
      </w:r>
    </w:p>
    <w:p w:rsidR="00000000" w:rsidDel="00000000" w:rsidP="00000000" w:rsidRDefault="00000000" w:rsidRPr="00000000" w14:paraId="00000008">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Präambel</w:t>
      </w:r>
    </w:p>
    <w:p w:rsidR="00000000" w:rsidDel="00000000" w:rsidP="00000000" w:rsidRDefault="00000000" w:rsidRPr="00000000" w14:paraId="0000000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Parteien beabsichtigen, Verhandlungen über ein mögliches zukünftiges Geschäft oder eine Zusammenarbeit zu führen. Im Laufe dieser Verhandlungen kann es notwendig sein, dass eine oder beide Parteien der anderen Partei vertrauliche Informationen offenlegen. Um die Interessen beider Parteien zu schützen, vereinbaren die Parteien folgende Bestimmungen:</w:t>
      </w:r>
    </w:p>
    <w:p w:rsidR="00000000" w:rsidDel="00000000" w:rsidP="00000000" w:rsidRDefault="00000000" w:rsidRPr="00000000" w14:paraId="0000000A">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1. Vertrauliche Informationen</w:t>
      </w:r>
      <w:r w:rsidDel="00000000" w:rsidR="00000000" w:rsidRPr="00000000">
        <w:rPr>
          <w:rtl w:val="0"/>
        </w:rPr>
      </w:r>
    </w:p>
    <w:p w:rsidR="00000000" w:rsidDel="00000000" w:rsidP="00000000" w:rsidRDefault="00000000" w:rsidRPr="00000000" w14:paraId="0000000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1.1 Vertrauliche Informationen sind alle Informationen und Daten, die im Rahmen der Verhandlungen von der offenlegenden Partei an die empfangende Partei weitergegeben werden, einschließlich, aber nicht beschränkt auf technische, kommerzielle, finanzielle, rechtliche, personenbezogene oder sonstige Daten, Informationen, Erkenntnisse oder Ergebnisse.</w:t>
      </w:r>
    </w:p>
    <w:p w:rsidR="00000000" w:rsidDel="00000000" w:rsidP="00000000" w:rsidRDefault="00000000" w:rsidRPr="00000000" w14:paraId="0000000C">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1.2 Vertrauliche Informationen dürfen ohne die vorherige schriftliche Zustimmung der offenlegenden Partei weder ganz noch teilweise kopiert oder weitergegeben werden.</w:t>
      </w:r>
    </w:p>
    <w:p w:rsidR="00000000" w:rsidDel="00000000" w:rsidP="00000000" w:rsidRDefault="00000000" w:rsidRPr="00000000" w14:paraId="0000000D">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Pflichten der Parteien</w:t>
      </w:r>
    </w:p>
    <w:p w:rsidR="00000000" w:rsidDel="00000000" w:rsidP="00000000" w:rsidRDefault="00000000" w:rsidRPr="00000000" w14:paraId="0000000E">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2.1 Die Parteien verpflichten sich, die vertraulichen Informationen streng geheim zu halten und sie nicht ohne die vorherige schriftliche Zustimmung der anderen Partei Dritten zugänglich zu machen oder in irgendeiner Weise zu nutzen.</w:t>
      </w:r>
    </w:p>
    <w:p w:rsidR="00000000" w:rsidDel="00000000" w:rsidP="00000000" w:rsidRDefault="00000000" w:rsidRPr="00000000" w14:paraId="0000000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2.2 Die Verpflichtungen nach § 2.1 gelten nicht für Informationen, die nachweislich bereits allgemein bekannt sind oder der empfangenden Partei vor dem Erhalt bekannt waren.</w:t>
      </w:r>
    </w:p>
    <w:p w:rsidR="00000000" w:rsidDel="00000000" w:rsidP="00000000" w:rsidRDefault="00000000" w:rsidRPr="00000000" w14:paraId="00000010">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keepNext w:val="1"/>
        <w:spacing w:after="120" w:before="240" w:lineRule="auto"/>
        <w:jc w:val="both"/>
        <w:rPr>
          <w:rFonts w:ascii="Open Sans" w:cs="Open Sans" w:eastAsia="Open Sans" w:hAnsi="Open Sans"/>
          <w:b w:val="1"/>
          <w:sz w:val="36"/>
          <w:szCs w:val="36"/>
        </w:rPr>
      </w:pPr>
      <w:r w:rsidDel="00000000" w:rsidR="00000000" w:rsidRPr="00000000">
        <w:rPr>
          <w:rFonts w:ascii="Open Sans" w:cs="Open Sans" w:eastAsia="Open Sans" w:hAnsi="Open Sans"/>
          <w:b w:val="1"/>
          <w:rtl w:val="0"/>
        </w:rPr>
        <w:t xml:space="preserve">3 Verwendung der vertraulichen Informationen</w:t>
      </w:r>
      <w:r w:rsidDel="00000000" w:rsidR="00000000" w:rsidRPr="00000000">
        <w:rPr>
          <w:rtl w:val="0"/>
        </w:rPr>
      </w:r>
    </w:p>
    <w:p w:rsidR="00000000" w:rsidDel="00000000" w:rsidP="00000000" w:rsidRDefault="00000000" w:rsidRPr="00000000" w14:paraId="00000012">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3.1 Die empfangende Partei wird die vertraulichen Informationen ausschließlich zum Zweck der Evaluierung der geplanten Geschäftsbeziehung oder Zusammenarbeit verwenden und nicht für andere Zwecke.</w:t>
      </w:r>
    </w:p>
    <w:p w:rsidR="00000000" w:rsidDel="00000000" w:rsidP="00000000" w:rsidRDefault="00000000" w:rsidRPr="00000000" w14:paraId="00000013">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4 Rückgabe oder Vernichtung von Informationen</w:t>
      </w:r>
      <w:r w:rsidDel="00000000" w:rsidR="00000000" w:rsidRPr="00000000">
        <w:rPr>
          <w:rtl w:val="0"/>
        </w:rPr>
      </w:r>
    </w:p>
    <w:p w:rsidR="00000000" w:rsidDel="00000000" w:rsidP="00000000" w:rsidRDefault="00000000" w:rsidRPr="00000000" w14:paraId="00000014">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4.1 Auf Anfrage der offenlegenden Partei hat die empfangende Partei alle erhaltenen vertraulichen Informationen einschließlich aller Kopien unverzüglich zu vernichten oder an die offenlegende Partei zurückzugeben.</w:t>
      </w:r>
    </w:p>
    <w:p w:rsidR="00000000" w:rsidDel="00000000" w:rsidP="00000000" w:rsidRDefault="00000000" w:rsidRPr="00000000" w14:paraId="00000015">
      <w:pPr>
        <w:spacing w:after="120" w:lineRule="auto"/>
        <w:rPr>
          <w:rFonts w:ascii="Open Sans" w:cs="Open Sans" w:eastAsia="Open Sans" w:hAnsi="Open Sans"/>
        </w:rPr>
      </w:pPr>
      <w:r w:rsidDel="00000000" w:rsidR="00000000" w:rsidRPr="00000000">
        <w:rPr>
          <w:rFonts w:ascii="Open Sans" w:cs="Open Sans" w:eastAsia="Open Sans" w:hAnsi="Open Sans"/>
          <w:b w:val="1"/>
          <w:rtl w:val="0"/>
        </w:rPr>
        <w:t xml:space="preserve">5 Dauer</w:t>
      </w:r>
      <w:r w:rsidDel="00000000" w:rsidR="00000000" w:rsidRPr="00000000">
        <w:rPr>
          <w:rtl w:val="0"/>
        </w:rPr>
      </w:r>
    </w:p>
    <w:p w:rsidR="00000000" w:rsidDel="00000000" w:rsidP="00000000" w:rsidRDefault="00000000" w:rsidRPr="00000000" w14:paraId="00000016">
      <w:pPr>
        <w:rPr>
          <w:rFonts w:ascii="Open Sans" w:cs="Open Sans" w:eastAsia="Open Sans" w:hAnsi="Open Sans"/>
        </w:rPr>
      </w:pPr>
      <w:r w:rsidDel="00000000" w:rsidR="00000000" w:rsidRPr="00000000">
        <w:rPr>
          <w:rFonts w:ascii="Open Sans" w:cs="Open Sans" w:eastAsia="Open Sans" w:hAnsi="Open Sans"/>
          <w:rtl w:val="0"/>
        </w:rPr>
        <w:t xml:space="preserve">Dieser Vertrag tritt mit dem Datum der Unterzeichnung in Kraft und endet </w:t>
      </w:r>
      <w:r w:rsidDel="00000000" w:rsidR="00000000" w:rsidRPr="00000000">
        <w:rPr>
          <w:rFonts w:ascii="Open Sans" w:cs="Open Sans" w:eastAsia="Open Sans" w:hAnsi="Open Sans"/>
          <w:i w:val="1"/>
          <w:rtl w:val="0"/>
        </w:rPr>
        <w:t xml:space="preserve">[Zeitraum/Bedingung für das Ende der Gültigkeit]</w:t>
      </w:r>
      <w:r w:rsidDel="00000000" w:rsidR="00000000" w:rsidRPr="00000000">
        <w:rPr>
          <w:rFonts w:ascii="Open Sans" w:cs="Open Sans" w:eastAsia="Open Sans" w:hAnsi="Open Sans"/>
          <w:rtl w:val="0"/>
        </w:rPr>
        <w:t xml:space="preserve">.</w:t>
        <w:br w:type="textWrapping"/>
      </w:r>
    </w:p>
    <w:p w:rsidR="00000000" w:rsidDel="00000000" w:rsidP="00000000" w:rsidRDefault="00000000" w:rsidRPr="00000000" w14:paraId="00000017">
      <w:pPr>
        <w:rPr>
          <w:rFonts w:ascii="Open Sans" w:cs="Open Sans" w:eastAsia="Open Sans" w:hAnsi="Open Sans"/>
          <w:b w:val="1"/>
        </w:rPr>
      </w:pPr>
      <w:r w:rsidDel="00000000" w:rsidR="00000000" w:rsidRPr="00000000">
        <w:rPr>
          <w:rFonts w:ascii="Open Sans" w:cs="Open Sans" w:eastAsia="Open Sans" w:hAnsi="Open Sans"/>
          <w:b w:val="1"/>
          <w:rtl w:val="0"/>
        </w:rPr>
        <w:t xml:space="preserve">6 Salvatorische Klausel</w:t>
      </w:r>
    </w:p>
    <w:p w:rsidR="00000000" w:rsidDel="00000000" w:rsidP="00000000" w:rsidRDefault="00000000" w:rsidRPr="00000000" w14:paraId="00000018">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Sollten einzelne Bestimmungen dieses Vertrages unwirksam oder undurchführbar sein oder nach Vertragsschluss unwirksam oder undurchführbar werden, so wird dadurch die Wirksamkeit des Vertrages im Übrigen nicht berührt. Anstelle der unwirksamen oder undurchführbaren Bestimmungen treten die gesetzlichen Regelungen.</w:t>
      </w:r>
    </w:p>
    <w:p w:rsidR="00000000" w:rsidDel="00000000" w:rsidP="00000000" w:rsidRDefault="00000000" w:rsidRPr="00000000" w14:paraId="00000019">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 Gerichtsstand</w:t>
      </w:r>
    </w:p>
    <w:p w:rsidR="00000000" w:rsidDel="00000000" w:rsidP="00000000" w:rsidRDefault="00000000" w:rsidRPr="00000000" w14:paraId="0000001A">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Für Streitigkeiten aus diesem Vertrag ist das Gericht am Sitz von</w:t>
      </w:r>
      <w:r w:rsidDel="00000000" w:rsidR="00000000" w:rsidRPr="00000000">
        <w:rPr>
          <w:rFonts w:ascii="Open Sans" w:cs="Open Sans" w:eastAsia="Open Sans" w:hAnsi="Open Sans"/>
          <w:i w:val="1"/>
          <w:rtl w:val="0"/>
        </w:rPr>
        <w:t xml:space="preserve"> [Partei 1/Partei 2]</w:t>
      </w:r>
      <w:r w:rsidDel="00000000" w:rsidR="00000000" w:rsidRPr="00000000">
        <w:rPr>
          <w:rFonts w:ascii="Open Sans" w:cs="Open Sans" w:eastAsia="Open Sans" w:hAnsi="Open Sans"/>
          <w:rtl w:val="0"/>
        </w:rPr>
        <w:t xml:space="preserve"> zuständig.</w:t>
      </w:r>
    </w:p>
    <w:p w:rsidR="00000000" w:rsidDel="00000000" w:rsidP="00000000" w:rsidRDefault="00000000" w:rsidRPr="00000000" w14:paraId="0000001B">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 Schlussbestimmungen</w:t>
      </w:r>
    </w:p>
    <w:p w:rsidR="00000000" w:rsidDel="00000000" w:rsidP="00000000" w:rsidRDefault="00000000" w:rsidRPr="00000000" w14:paraId="0000001C">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Dieser Vertrag enthält alle Vereinbarungen der Parteien. Änderungen und Ergänzungen dieses Vertrages bedürfen der Schriftform. Dies gilt auch für die Aufhebung dieses Schriftformerfordernisses.</w:t>
      </w:r>
    </w:p>
    <w:p w:rsidR="00000000" w:rsidDel="00000000" w:rsidP="00000000" w:rsidRDefault="00000000" w:rsidRPr="00000000" w14:paraId="0000001D">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br w:type="textWrapping"/>
        <w:t xml:space="preserve">Ort, Datum</w:t>
        <w:tab/>
        <w:t xml:space="preserve">Unterschrift Arbeitgeber/in</w:t>
      </w:r>
    </w:p>
    <w:p w:rsidR="00000000" w:rsidDel="00000000" w:rsidP="00000000" w:rsidRDefault="00000000" w:rsidRPr="00000000" w14:paraId="0000001E">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1F">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0">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Arbeitnehmer/in</w:t>
      </w:r>
    </w:p>
    <w:p w:rsidR="00000000" w:rsidDel="00000000" w:rsidP="00000000" w:rsidRDefault="00000000" w:rsidRPr="00000000" w14:paraId="00000022">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tabs>
          <w:tab w:val="left" w:leader="none" w:pos="4395"/>
        </w:tabs>
        <w:spacing w:after="120" w:lineRule="auto"/>
        <w:rPr>
          <w:rFonts w:ascii="Open Sans" w:cs="Open Sans" w:eastAsia="Open Sans" w:hAnsi="Open Sans"/>
        </w:rPr>
      </w:pPr>
      <w:r w:rsidDel="00000000" w:rsidR="00000000" w:rsidRPr="00000000">
        <w:rPr>
          <w:rtl w:val="0"/>
        </w:rPr>
        <w:t xml:space="preserve">…………………………</w:t>
        <w:tab/>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B">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F">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Geheimhaltungsvertrag (NDA)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Geheimhaltungsvertrag (NDA)</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iZefq1/jjlQLrrSlfHwZEzYGUA==">CgMxLjA4AHIhMTVycmtMcExOVXF2TDFwT1h2bC03Zk9kTldwYXZDenh6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